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D25058" w:rsidRDefault="007363C7" w:rsidP="00841F84">
      <w:pPr>
        <w:rPr>
          <w:b/>
          <w:sz w:val="28"/>
          <w:szCs w:val="28"/>
        </w:rPr>
      </w:pPr>
      <w:r w:rsidRPr="007363C7">
        <w:rPr>
          <w:b/>
          <w:sz w:val="28"/>
          <w:szCs w:val="28"/>
        </w:rPr>
        <w:t xml:space="preserve">PE100 </w:t>
      </w:r>
      <w:proofErr w:type="spellStart"/>
      <w:r w:rsidRPr="007363C7">
        <w:rPr>
          <w:b/>
          <w:sz w:val="28"/>
          <w:szCs w:val="28"/>
        </w:rPr>
        <w:t>Hydrantenformteile</w:t>
      </w:r>
      <w:proofErr w:type="spellEnd"/>
      <w:r w:rsidR="00D25058">
        <w:rPr>
          <w:b/>
          <w:sz w:val="28"/>
          <w:szCs w:val="28"/>
        </w:rPr>
        <w:t xml:space="preserve">: </w:t>
      </w:r>
      <w:bookmarkStart w:id="0" w:name="_GoBack"/>
      <w:r w:rsidRPr="007363C7">
        <w:rPr>
          <w:b/>
          <w:sz w:val="28"/>
          <w:szCs w:val="28"/>
        </w:rPr>
        <w:t>T-Kreuzstück</w:t>
      </w:r>
      <w:bookmarkEnd w:id="0"/>
    </w:p>
    <w:p w:rsidR="00841F84" w:rsidRPr="0009241A" w:rsidRDefault="00841F84" w:rsidP="00841F84">
      <w:pPr>
        <w:rPr>
          <w:b/>
        </w:rPr>
      </w:pPr>
      <w:r w:rsidRPr="0009241A">
        <w:rPr>
          <w:b/>
        </w:rPr>
        <w:t>Allgemeine Vorbemerkung</w:t>
      </w:r>
    </w:p>
    <w:p w:rsidR="007363C7" w:rsidRDefault="007363C7" w:rsidP="007363C7">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muss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7363C7" w:rsidRDefault="007363C7" w:rsidP="007363C7">
      <w:r>
        <w:t>Die Spitzenden sind in langer Form auszuführen, um sowohl eine HE-Stumpfschweißung als auch eine HW-Schweißung ausführen zu können.</w:t>
      </w:r>
    </w:p>
    <w:p w:rsidR="007363C7" w:rsidRDefault="007363C7" w:rsidP="007363C7">
      <w:r>
        <w:t xml:space="preserve">Die Flanschanschlüsse müssen nennweitengleich nach DN 80 bzw. DN 100 gemäß DIN EN 1092-1 ausgelegt sein und einen auf die Last des Hydranten ausgelegten nach außen verstärkten Schweißnahtbereich  aufweisen; DN 80 -&gt; 110 mm Außendurchmesser sowie DN 100 -&gt; 135 mm Außendurchmesser. </w:t>
      </w:r>
    </w:p>
    <w:p w:rsidR="007363C7" w:rsidRDefault="007363C7" w:rsidP="007363C7">
      <w:r>
        <w:t>Der Hinterlegflansch ist aus korrosionsfreiem, faserverstärktem Kunststoff hergestellt, stützt den PE-Bund von außen und weist eine Tellerfederfunktion auf, die die Vorspannung nach Anziehen der Schrauben aufrechterhält.</w:t>
      </w:r>
    </w:p>
    <w:p w:rsidR="00841F84" w:rsidRDefault="007363C7" w:rsidP="007363C7">
      <w:r>
        <w:t>Optional erhältliche Ausführungen: Flansch mit O-Ringdichtung, Aufnahme für Spitzende oder Württemberger System am Abgang</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176A32" w:rsidRDefault="00176A32" w:rsidP="00841F84"/>
    <w:p w:rsidR="00841F84" w:rsidRPr="0009241A" w:rsidRDefault="00841F84" w:rsidP="00841F84">
      <w:pPr>
        <w:rPr>
          <w:b/>
        </w:rPr>
      </w:pPr>
      <w:r w:rsidRPr="0009241A">
        <w:rPr>
          <w:b/>
        </w:rPr>
        <w:t>Leistungsbeschreibung:</w:t>
      </w:r>
    </w:p>
    <w:p w:rsidR="00D51F04" w:rsidRPr="007363C7" w:rsidRDefault="007363C7" w:rsidP="007363C7">
      <w:pPr>
        <w:pStyle w:val="Listenabsatz"/>
        <w:numPr>
          <w:ilvl w:val="0"/>
          <w:numId w:val="2"/>
        </w:numPr>
        <w:spacing w:before="240"/>
        <w:rPr>
          <w:b/>
        </w:rPr>
      </w:pPr>
      <w:r w:rsidRPr="007363C7">
        <w:rPr>
          <w:noProof/>
          <w:lang w:eastAsia="de-DE"/>
        </w:rPr>
        <w:t>PE100 T-Kreuzstück für Hydrantenanschluss, verstärkte Ausführung, mit nennweitengleicher Sonderflansch</w:t>
      </w:r>
      <w:r w:rsidR="00106B53">
        <w:rPr>
          <w:noProof/>
          <w:lang w:eastAsia="de-DE"/>
        </w:rPr>
        <w:t xml:space="preserve">verbindung (VP-Flansch) mit </w:t>
      </w:r>
      <w:r w:rsidRPr="007363C7">
        <w:rPr>
          <w:noProof/>
          <w:lang w:eastAsia="de-DE"/>
        </w:rPr>
        <w:t>faserverstärktem Hinterlegflansch am Abgang, gebohrt nach DIN EN 1092-1, mit Federwirkung für kontinuierliche Schraubenvorspannung, langen Anschweißenden für HW-Schweißung, d1 … / DN … SDR …</w:t>
      </w:r>
    </w:p>
    <w:p w:rsidR="007363C7" w:rsidRDefault="007363C7" w:rsidP="007363C7">
      <w:pPr>
        <w:pStyle w:val="Listenabsatz"/>
        <w:spacing w:before="240"/>
        <w:ind w:left="360"/>
        <w:rPr>
          <w:b/>
        </w:rPr>
      </w:pPr>
    </w:p>
    <w:p w:rsidR="007363C7" w:rsidRDefault="007363C7" w:rsidP="007363C7">
      <w:pPr>
        <w:pStyle w:val="Listenabsatz"/>
        <w:spacing w:before="240"/>
        <w:ind w:left="360"/>
        <w:rPr>
          <w:b/>
        </w:rPr>
      </w:pPr>
    </w:p>
    <w:p w:rsidR="007363C7" w:rsidRPr="00D51F04" w:rsidRDefault="007363C7" w:rsidP="007363C7">
      <w:pPr>
        <w:pStyle w:val="Listenabsatz"/>
        <w:spacing w:before="240"/>
        <w:ind w:left="360"/>
        <w:rPr>
          <w:b/>
        </w:rPr>
      </w:pPr>
    </w:p>
    <w:p w:rsidR="007363C7" w:rsidRDefault="007363C7" w:rsidP="007363C7">
      <w:pPr>
        <w:pStyle w:val="Listenabsatz"/>
        <w:numPr>
          <w:ilvl w:val="0"/>
          <w:numId w:val="2"/>
        </w:numPr>
      </w:pPr>
      <w:r w:rsidRPr="007363C7">
        <w:lastRenderedPageBreak/>
        <w:t>PE100 X-Kreuzstück für Hydrantenanschluss, verstärkte Ausführung, mit nennweitengleicher Sonderflansch</w:t>
      </w:r>
      <w:r w:rsidR="00106B53">
        <w:t xml:space="preserve">verbindung (VP-Flansch) mit </w:t>
      </w:r>
      <w:r w:rsidRPr="007363C7">
        <w:t>faserverstärktem Hinterlegflansch am Abgang, gebohrt nach DIN EN 1092-1, mit Federwirkung für kontinuierliche Schraubenvorspannung, langen Anschweißenden für HW-Schweißung, d1 … / DN … SDR …</w:t>
      </w:r>
    </w:p>
    <w:p w:rsidR="007363C7" w:rsidRDefault="007363C7" w:rsidP="007363C7">
      <w:pPr>
        <w:pStyle w:val="Listenabsatz"/>
      </w:pPr>
    </w:p>
    <w:p w:rsidR="007363C7" w:rsidRDefault="007363C7" w:rsidP="007363C7">
      <w:pPr>
        <w:pStyle w:val="Listenabsatz"/>
        <w:ind w:left="360"/>
      </w:pPr>
    </w:p>
    <w:p w:rsidR="00316EC9" w:rsidRPr="007363C7" w:rsidRDefault="007363C7" w:rsidP="007363C7">
      <w:pPr>
        <w:pStyle w:val="Listenabsatz"/>
        <w:numPr>
          <w:ilvl w:val="0"/>
          <w:numId w:val="2"/>
        </w:numPr>
      </w:pPr>
      <w:r w:rsidRPr="007363C7">
        <w:rPr>
          <w:noProof/>
          <w:lang w:eastAsia="de-DE"/>
        </w:rPr>
        <w:t>PE100 Hausanschlussverteiler</w:t>
      </w:r>
      <w:r>
        <w:rPr>
          <w:noProof/>
          <w:lang w:eastAsia="de-DE"/>
        </w:rPr>
        <w:t xml:space="preserve"> mit vier Anschlussmöglichkeiten</w:t>
      </w:r>
      <w:r w:rsidRPr="007363C7">
        <w:rPr>
          <w:noProof/>
          <w:lang w:eastAsia="de-DE"/>
        </w:rPr>
        <w:t>, verstärkte Ausführung</w:t>
      </w:r>
      <w:r w:rsidR="00690264">
        <w:rPr>
          <w:noProof/>
          <w:lang w:eastAsia="de-DE"/>
        </w:rPr>
        <w:t xml:space="preserve"> mit extra langem Hausanschlussstutzen und drei Blindstopfen mit EPDM-O-Ring</w:t>
      </w:r>
      <w:r w:rsidRPr="007363C7">
        <w:rPr>
          <w:noProof/>
          <w:lang w:eastAsia="de-DE"/>
        </w:rPr>
        <w:t xml:space="preserve">, </w:t>
      </w:r>
      <w:r w:rsidR="00690264">
        <w:rPr>
          <w:noProof/>
          <w:lang w:eastAsia="de-DE"/>
        </w:rPr>
        <w:t>passend</w:t>
      </w:r>
      <w:r w:rsidRPr="007363C7">
        <w:rPr>
          <w:noProof/>
          <w:lang w:eastAsia="de-DE"/>
        </w:rPr>
        <w:t xml:space="preserve"> gebohrt nach DIN EN 1092-1, </w:t>
      </w:r>
      <w:r w:rsidR="00690264">
        <w:rPr>
          <w:noProof/>
          <w:lang w:eastAsia="de-DE"/>
        </w:rPr>
        <w:t>Dichtfläche mit EPDM-O-Ring</w:t>
      </w:r>
      <w:r w:rsidRPr="007363C7">
        <w:rPr>
          <w:noProof/>
          <w:lang w:eastAsia="de-DE"/>
        </w:rPr>
        <w:t xml:space="preserve">,  </w:t>
      </w:r>
      <w:r w:rsidR="00690264">
        <w:rPr>
          <w:noProof/>
          <w:lang w:eastAsia="de-DE"/>
        </w:rPr>
        <w:t xml:space="preserve">n x </w:t>
      </w:r>
      <w:r w:rsidRPr="007363C7">
        <w:rPr>
          <w:noProof/>
          <w:lang w:eastAsia="de-DE"/>
        </w:rPr>
        <w:t xml:space="preserve">d1 … </w:t>
      </w:r>
      <w:r w:rsidR="00690264">
        <w:rPr>
          <w:noProof/>
          <w:lang w:eastAsia="de-DE"/>
        </w:rPr>
        <w:t>/</w:t>
      </w:r>
      <w:r w:rsidRPr="007363C7">
        <w:rPr>
          <w:noProof/>
          <w:lang w:eastAsia="de-DE"/>
        </w:rPr>
        <w:t xml:space="preserve"> DN … SDR …</w:t>
      </w:r>
      <w:r w:rsidR="00690264">
        <w:rPr>
          <w:noProof/>
          <w:lang w:eastAsia="de-DE"/>
        </w:rPr>
        <w:t xml:space="preserve">  |  n x </w:t>
      </w:r>
      <w:r w:rsidR="00690264" w:rsidRPr="007363C7">
        <w:rPr>
          <w:noProof/>
          <w:lang w:eastAsia="de-DE"/>
        </w:rPr>
        <w:t>d</w:t>
      </w:r>
      <w:r w:rsidR="00690264">
        <w:rPr>
          <w:noProof/>
          <w:lang w:eastAsia="de-DE"/>
        </w:rPr>
        <w:t>3</w:t>
      </w:r>
      <w:r w:rsidR="00690264" w:rsidRPr="007363C7">
        <w:rPr>
          <w:noProof/>
          <w:lang w:eastAsia="de-DE"/>
        </w:rPr>
        <w:t xml:space="preserve"> … </w:t>
      </w:r>
      <w:r w:rsidR="00690264">
        <w:rPr>
          <w:noProof/>
          <w:lang w:eastAsia="de-DE"/>
        </w:rPr>
        <w:t>/</w:t>
      </w:r>
      <w:r w:rsidR="00690264" w:rsidRPr="007363C7">
        <w:rPr>
          <w:noProof/>
          <w:lang w:eastAsia="de-DE"/>
        </w:rPr>
        <w:t xml:space="preserve"> DN … SDR …</w:t>
      </w:r>
      <w:r w:rsidR="00690264">
        <w:rPr>
          <w:noProof/>
          <w:lang w:eastAsia="de-DE"/>
        </w:rPr>
        <w:t xml:space="preserve">  </w:t>
      </w:r>
    </w:p>
    <w:p w:rsidR="00316EC9" w:rsidRDefault="00316EC9"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41F84" w:rsidRDefault="00841F84" w:rsidP="00841F84">
      <w:pPr>
        <w:spacing w:after="0" w:line="240" w:lineRule="auto"/>
      </w:pPr>
      <w:r w:rsidRPr="00841F84">
        <w:t>Fax: +49 5921 8347-25</w:t>
      </w:r>
    </w:p>
    <w:p w:rsidR="00841F84" w:rsidRDefault="00D25058" w:rsidP="00841F84">
      <w:pPr>
        <w:spacing w:after="0" w:line="240" w:lineRule="auto"/>
      </w:pPr>
      <w:hyperlink r:id="rId7" w:history="1">
        <w:r w:rsidR="00841F84" w:rsidRPr="00841F84">
          <w:rPr>
            <w:rStyle w:val="Hyperlink"/>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p w:rsidR="00841F84" w:rsidRPr="00F16DFB" w:rsidRDefault="00841F84" w:rsidP="00841F84">
      <w:pPr>
        <w:rPr>
          <w:lang w:val="en-GB"/>
        </w:rPr>
      </w:pPr>
    </w:p>
    <w:p w:rsidR="008B36BF" w:rsidRPr="001C1739" w:rsidRDefault="008B36BF" w:rsidP="001C1739"/>
    <w:sectPr w:rsidR="008B36BF" w:rsidRPr="001C1739"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D2505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Version 201706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Version 201706</w:t>
                    </w:r>
                  </w:p>
                </w:txbxContent>
              </v:textbox>
              <w10:wrap anchorx="page"/>
            </v:shape>
          </w:pict>
        </mc:Fallback>
      </mc:AlternateContent>
    </w:r>
    <w:r w:rsidR="00D25058">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D2505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44B3"/>
    <w:multiLevelType w:val="hybridMultilevel"/>
    <w:tmpl w:val="23A858A4"/>
    <w:lvl w:ilvl="0" w:tplc="059EBFB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CD2A56"/>
    <w:multiLevelType w:val="hybridMultilevel"/>
    <w:tmpl w:val="FA425F60"/>
    <w:lvl w:ilvl="0" w:tplc="6388EF8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E5A6B"/>
    <w:rsid w:val="00106B53"/>
    <w:rsid w:val="00176A32"/>
    <w:rsid w:val="001C1739"/>
    <w:rsid w:val="00316EC9"/>
    <w:rsid w:val="00352591"/>
    <w:rsid w:val="003C5A77"/>
    <w:rsid w:val="006047F5"/>
    <w:rsid w:val="00683E05"/>
    <w:rsid w:val="00690264"/>
    <w:rsid w:val="007363C7"/>
    <w:rsid w:val="00841F84"/>
    <w:rsid w:val="008B36BF"/>
    <w:rsid w:val="00995FA3"/>
    <w:rsid w:val="00A33A4F"/>
    <w:rsid w:val="00D25058"/>
    <w:rsid w:val="00D51F04"/>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 w:type="paragraph" w:styleId="Listenabsatz">
    <w:name w:val="List Paragraph"/>
    <w:basedOn w:val="Standard"/>
    <w:uiPriority w:val="34"/>
    <w:qFormat/>
    <w:rsid w:val="00D5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Ausschreibungstext PE100 Hydrantenanschlüsse DVGW Cert</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Hydrantenanschlüsse ohne DVGW Cert</dc:title>
  <dc:subject/>
  <dc:creator>Michael Stichternath</dc:creator>
  <cp:keywords/>
  <dc:description/>
  <cp:lastModifiedBy>Jörg Arends</cp:lastModifiedBy>
  <cp:revision>2</cp:revision>
  <cp:lastPrinted>2017-06-23T06:21:00Z</cp:lastPrinted>
  <dcterms:created xsi:type="dcterms:W3CDTF">2018-04-23T13:23:00Z</dcterms:created>
  <dcterms:modified xsi:type="dcterms:W3CDTF">2018-04-23T13:23:00Z</dcterms:modified>
</cp:coreProperties>
</file>